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sidRPr="006679C6">
        <w:rPr>
          <w:rFonts w:ascii="Arial" w:hAnsi="Arial" w:cs="Arial"/>
          <w:b/>
          <w:sz w:val="20"/>
          <w:szCs w:val="20"/>
        </w:rPr>
        <w:t>Sub Part 8:</w:t>
      </w:r>
      <w:r w:rsidRPr="006679C6">
        <w:rPr>
          <w:rFonts w:ascii="Arial" w:hAnsi="Arial" w:cs="Arial"/>
          <w:b/>
          <w:sz w:val="20"/>
          <w:szCs w:val="20"/>
        </w:rPr>
        <w:tab/>
      </w:r>
      <w:r w:rsidR="00AF4BBD" w:rsidRPr="006679C6">
        <w:rPr>
          <w:rFonts w:ascii="Arial" w:hAnsi="Arial"/>
          <w:b/>
          <w:sz w:val="20"/>
          <w:szCs w:val="20"/>
        </w:rPr>
        <w:t>I</w:t>
      </w:r>
      <w:r w:rsidR="008875F5" w:rsidRPr="006679C6">
        <w:rPr>
          <w:rFonts w:ascii="Arial" w:hAnsi="Arial"/>
          <w:b/>
          <w:sz w:val="20"/>
          <w:szCs w:val="20"/>
        </w:rPr>
        <w:t>P</w:t>
      </w:r>
      <w:r w:rsidR="00AF4BBD" w:rsidRPr="006679C6">
        <w:rPr>
          <w:rFonts w:ascii="Arial" w:hAnsi="Arial"/>
          <w:b/>
          <w:sz w:val="20"/>
          <w:szCs w:val="20"/>
        </w:rPr>
        <w:t>stream - Advanced Services</w:t>
      </w:r>
      <w:r w:rsidR="004F72F9" w:rsidRPr="006679C6">
        <w:rPr>
          <w:rFonts w:ascii="Arial" w:hAnsi="Arial"/>
          <w:b/>
          <w:sz w:val="20"/>
          <w:szCs w:val="20"/>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4"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31"/>
        <w:gridCol w:w="1134"/>
        <w:gridCol w:w="992"/>
        <w:gridCol w:w="1134"/>
        <w:gridCol w:w="1134"/>
        <w:gridCol w:w="1134"/>
        <w:gridCol w:w="1134"/>
        <w:gridCol w:w="1134"/>
        <w:gridCol w:w="1134"/>
      </w:tblGrid>
      <w:tr w:rsidR="00F10DEB" w:rsidRPr="004D5BBC" w:rsidTr="00F10DEB">
        <w:trPr>
          <w:trHeight w:val="1281"/>
        </w:trPr>
        <w:tc>
          <w:tcPr>
            <w:tcW w:w="3402" w:type="dxa"/>
            <w:vMerge w:val="restart"/>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 xml:space="preserve">Operative Date </w:t>
            </w:r>
            <w:r w:rsidR="00123C67" w:rsidRPr="004D5BBC">
              <w:rPr>
                <w:rFonts w:ascii="Arial" w:hAnsi="Arial" w:cs="Arial"/>
                <w:b/>
                <w:sz w:val="20"/>
                <w:szCs w:val="20"/>
              </w:rPr>
              <w:t>01</w:t>
            </w:r>
            <w:r w:rsidRPr="004D5BBC">
              <w:rPr>
                <w:rFonts w:ascii="Arial" w:hAnsi="Arial" w:cs="Arial"/>
                <w:b/>
                <w:sz w:val="20"/>
                <w:szCs w:val="20"/>
              </w:rPr>
              <w:t>.</w:t>
            </w:r>
            <w:r w:rsidR="00BB0215" w:rsidRPr="004D5BBC">
              <w:rPr>
                <w:rFonts w:ascii="Arial" w:hAnsi="Arial" w:cs="Arial"/>
                <w:b/>
                <w:sz w:val="20"/>
                <w:szCs w:val="20"/>
              </w:rPr>
              <w:t>11.2012</w:t>
            </w:r>
          </w:p>
          <w:p w:rsidR="00CD63F4" w:rsidRPr="004D5BBC" w:rsidRDefault="00CD63F4" w:rsidP="00F10DEB">
            <w:pPr>
              <w:ind w:right="-262"/>
              <w:jc w:val="center"/>
              <w:rPr>
                <w:rFonts w:ascii="Arial" w:hAnsi="Arial" w:cs="Arial"/>
                <w:b/>
                <w:sz w:val="20"/>
                <w:szCs w:val="20"/>
              </w:rPr>
            </w:pPr>
          </w:p>
          <w:p w:rsidR="00CD63F4" w:rsidRPr="004D5BBC" w:rsidRDefault="00CD63F4" w:rsidP="00F10DEB">
            <w:pPr>
              <w:ind w:right="-262"/>
              <w:jc w:val="center"/>
              <w:rPr>
                <w:rFonts w:ascii="Arial" w:hAnsi="Arial" w:cs="Arial"/>
                <w:b/>
                <w:sz w:val="20"/>
                <w:szCs w:val="20"/>
              </w:rPr>
            </w:pPr>
          </w:p>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Services</w:t>
            </w:r>
          </w:p>
          <w:p w:rsidR="00CD63F4" w:rsidRPr="004D5BBC" w:rsidRDefault="00CD63F4" w:rsidP="00F10DEB">
            <w:pPr>
              <w:jc w:val="center"/>
              <w:rPr>
                <w:rFonts w:ascii="Arial" w:hAnsi="Arial" w:cs="Arial"/>
                <w:b/>
                <w:sz w:val="20"/>
                <w:szCs w:val="20"/>
              </w:rPr>
            </w:pPr>
          </w:p>
        </w:tc>
        <w:tc>
          <w:tcPr>
            <w:tcW w:w="3357"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Standard Charging Annual Rental</w:t>
            </w:r>
          </w:p>
          <w:p w:rsidR="00CD63F4" w:rsidRPr="004D5BBC" w:rsidRDefault="00CD63F4" w:rsidP="00F10DEB">
            <w:pPr>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c>
          <w:tcPr>
            <w:tcW w:w="3402"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Capacity Charging Annual Rental</w:t>
            </w:r>
          </w:p>
          <w:p w:rsidR="00CD63F4" w:rsidRPr="004D5BBC" w:rsidRDefault="00CD63F4" w:rsidP="00F10DEB">
            <w:pPr>
              <w:ind w:right="-108"/>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c>
          <w:tcPr>
            <w:tcW w:w="3402"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Usage Based Charging Annual Rental</w:t>
            </w:r>
          </w:p>
          <w:p w:rsidR="00CD63F4" w:rsidRPr="004D5BBC" w:rsidRDefault="00CD63F4" w:rsidP="00F10DEB">
            <w:pPr>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r>
      <w:tr w:rsidR="00F10DEB" w:rsidRPr="004D5BBC" w:rsidTr="00F10DEB">
        <w:trPr>
          <w:trHeight w:val="477"/>
        </w:trPr>
        <w:tc>
          <w:tcPr>
            <w:tcW w:w="3402" w:type="dxa"/>
            <w:vMerge/>
            <w:vAlign w:val="center"/>
          </w:tcPr>
          <w:p w:rsidR="00CD63F4" w:rsidRPr="004D5BBC" w:rsidRDefault="00CD63F4" w:rsidP="00F10DEB">
            <w:pPr>
              <w:ind w:right="-108"/>
              <w:jc w:val="center"/>
              <w:rPr>
                <w:rFonts w:ascii="Arial" w:hAnsi="Arial" w:cs="Arial"/>
                <w:sz w:val="20"/>
                <w:szCs w:val="20"/>
              </w:rPr>
            </w:pPr>
          </w:p>
        </w:tc>
        <w:tc>
          <w:tcPr>
            <w:tcW w:w="1231"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992"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r>
      <w:tr w:rsidR="00BB0215" w:rsidRPr="004D5BBC" w:rsidTr="00F10DEB">
        <w:trPr>
          <w:trHeight w:val="477"/>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500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472"/>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1000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41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2000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Max</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r>
      <w:tr w:rsidR="00BB0215" w:rsidRPr="004D5BBC" w:rsidTr="00F10DEB">
        <w:trPr>
          <w:trHeight w:val="350"/>
        </w:trPr>
        <w:tc>
          <w:tcPr>
            <w:tcW w:w="3402" w:type="dxa"/>
            <w:vAlign w:val="center"/>
          </w:tcPr>
          <w:p w:rsidR="00BB0215" w:rsidRPr="004D5BBC" w:rsidRDefault="00BB0215" w:rsidP="00145EA6">
            <w:pPr>
              <w:ind w:right="-108"/>
              <w:rPr>
                <w:rFonts w:ascii="Arial" w:hAnsi="Arial" w:cs="Arial"/>
                <w:sz w:val="20"/>
                <w:szCs w:val="20"/>
              </w:rPr>
            </w:pPr>
            <w:r w:rsidRPr="004D5BBC">
              <w:rPr>
                <w:rFonts w:ascii="Arial" w:hAnsi="Arial" w:cs="Arial"/>
                <w:sz w:val="20"/>
                <w:szCs w:val="20"/>
              </w:rPr>
              <w:t xml:space="preserve">BT IPstream Max BET 1M and 2M </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500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1000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2000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F10DEB"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Max Premium</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125.16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125.16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137.64</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p w:rsidR="005A50F6" w:rsidRPr="009E64A7" w:rsidRDefault="005A50F6" w:rsidP="005A50F6">
      <w:pPr>
        <w:spacing w:before="120"/>
        <w:rPr>
          <w:rFonts w:ascii="Arial" w:hAnsi="Arial" w:cs="Arial"/>
          <w:b/>
          <w:sz w:val="20"/>
          <w:szCs w:val="20"/>
          <w:highlight w:val="yellow"/>
        </w:rPr>
      </w:pPr>
      <w:r>
        <w:rPr>
          <w:rFonts w:ascii="Arial" w:hAnsi="Arial" w:cs="Arial"/>
          <w:b/>
          <w:sz w:val="20"/>
          <w:szCs w:val="20"/>
          <w:highlight w:val="yellow"/>
        </w:rPr>
        <w:t>Additional IPstream</w:t>
      </w:r>
      <w:r w:rsidRPr="009E64A7">
        <w:rPr>
          <w:rFonts w:ascii="Arial" w:hAnsi="Arial" w:cs="Arial"/>
          <w:b/>
          <w:sz w:val="20"/>
          <w:szCs w:val="20"/>
          <w:highlight w:val="yellow"/>
        </w:rPr>
        <w:t xml:space="preserve"> End User Access Rentals for Retirement Exchanges</w:t>
      </w:r>
    </w:p>
    <w:p w:rsidR="005A50F6" w:rsidRPr="00C072E1" w:rsidRDefault="005A50F6" w:rsidP="005A50F6">
      <w:pPr>
        <w:spacing w:before="120"/>
        <w:rPr>
          <w:rFonts w:ascii="Arial" w:hAnsi="Arial" w:cs="Arial"/>
          <w:b/>
          <w:sz w:val="20"/>
          <w:szCs w:val="20"/>
          <w:highlight w:val="yellow"/>
        </w:rPr>
      </w:pPr>
    </w:p>
    <w:p w:rsidR="005A50F6" w:rsidRPr="00C072E1" w:rsidRDefault="005A50F6" w:rsidP="005A50F6">
      <w:pPr>
        <w:spacing w:before="120"/>
        <w:rPr>
          <w:rFonts w:ascii="Arial" w:hAnsi="Arial" w:cs="Arial"/>
          <w:sz w:val="20"/>
          <w:szCs w:val="20"/>
          <w:highlight w:val="yellow"/>
        </w:rPr>
      </w:pPr>
      <w:r w:rsidRPr="00227C68">
        <w:rPr>
          <w:rFonts w:ascii="Arial" w:hAnsi="Arial" w:cs="Arial"/>
          <w:sz w:val="20"/>
          <w:szCs w:val="20"/>
          <w:highlight w:val="yellow"/>
        </w:rPr>
        <w:t xml:space="preserve">An additional End User Access Rental charge applies where the serving exchange has passed the retirement date listed in the file “IPstream and IPstream </w:t>
      </w:r>
      <w:r w:rsidRPr="00C072E1">
        <w:rPr>
          <w:rFonts w:ascii="Arial" w:hAnsi="Arial" w:cs="Arial"/>
          <w:sz w:val="20"/>
          <w:szCs w:val="20"/>
          <w:highlight w:val="yellow"/>
        </w:rPr>
        <w:t>Connect Exchanges for Retirement</w:t>
      </w:r>
      <w:r>
        <w:rPr>
          <w:rFonts w:ascii="Arial" w:hAnsi="Arial" w:cs="Arial"/>
          <w:sz w:val="20"/>
          <w:szCs w:val="20"/>
          <w:highlight w:val="yellow"/>
        </w:rPr>
        <w:t>” published at the following link:</w:t>
      </w:r>
    </w:p>
    <w:p w:rsidR="005A50F6" w:rsidRDefault="00AD0B77" w:rsidP="005A50F6">
      <w:pPr>
        <w:spacing w:before="120"/>
        <w:rPr>
          <w:rFonts w:ascii="Arial" w:hAnsi="Arial" w:cs="Arial"/>
          <w:sz w:val="20"/>
          <w:szCs w:val="20"/>
        </w:rPr>
      </w:pPr>
      <w:hyperlink r:id="rId15" w:history="1">
        <w:r w:rsidR="005A50F6" w:rsidRPr="006E5164">
          <w:rPr>
            <w:rStyle w:val="Hyperlink"/>
            <w:rFonts w:ascii="Arial" w:hAnsi="Arial" w:cs="Arial"/>
            <w:sz w:val="20"/>
            <w:szCs w:val="20"/>
            <w:highlight w:val="yellow"/>
          </w:rPr>
          <w:t>https://www.btwholesale.com/pages/static/Library/Pricing_and_Contractual_Information/Part_1_BT_IPstream/index.htm</w:t>
        </w:r>
      </w:hyperlink>
    </w:p>
    <w:p w:rsidR="005A50F6" w:rsidRPr="00C072E1" w:rsidRDefault="005A50F6" w:rsidP="005A50F6">
      <w:pPr>
        <w:spacing w:before="120"/>
        <w:rPr>
          <w:rFonts w:ascii="Arial" w:hAnsi="Arial" w:cs="Arial"/>
          <w:sz w:val="20"/>
          <w:szCs w:val="20"/>
          <w:highlight w:val="yellow"/>
        </w:rPr>
      </w:pPr>
      <w:r>
        <w:rPr>
          <w:rFonts w:ascii="Arial" w:hAnsi="Arial" w:cs="Arial"/>
          <w:sz w:val="20"/>
          <w:szCs w:val="20"/>
          <w:highlight w:val="yellow"/>
        </w:rPr>
        <w:t>The additional charging, by exchange retirement phase, is summarised in the table below.</w:t>
      </w:r>
    </w:p>
    <w:p w:rsidR="005A50F6" w:rsidRDefault="005A50F6"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2008"/>
        <w:gridCol w:w="1434"/>
        <w:gridCol w:w="1578"/>
        <w:gridCol w:w="1578"/>
      </w:tblGrid>
      <w:tr w:rsidR="00B84BCC" w:rsidRPr="0077267A" w:rsidTr="006A4A4F">
        <w:trPr>
          <w:trHeight w:val="637"/>
        </w:trPr>
        <w:tc>
          <w:tcPr>
            <w:tcW w:w="3838" w:type="dxa"/>
            <w:vMerge w:val="restart"/>
            <w:vAlign w:val="center"/>
          </w:tcPr>
          <w:p w:rsidR="00B84BCC" w:rsidRPr="0077267A" w:rsidRDefault="00B84BCC" w:rsidP="0077267A">
            <w:pPr>
              <w:ind w:right="-108"/>
              <w:jc w:val="center"/>
              <w:rPr>
                <w:rFonts w:ascii="Arial" w:hAnsi="Arial" w:cs="Arial"/>
                <w:b/>
                <w:sz w:val="20"/>
                <w:szCs w:val="20"/>
                <w:highlight w:val="yellow"/>
              </w:rPr>
            </w:pPr>
            <w:bookmarkStart w:id="4" w:name="_GoBack"/>
            <w:bookmarkEnd w:id="4"/>
            <w:r w:rsidRPr="0077267A">
              <w:rPr>
                <w:rFonts w:ascii="Arial" w:hAnsi="Arial" w:cs="Arial"/>
                <w:b/>
                <w:sz w:val="20"/>
                <w:szCs w:val="20"/>
                <w:highlight w:val="yellow"/>
              </w:rPr>
              <w:t>Services</w:t>
            </w:r>
          </w:p>
          <w:p w:rsidR="00B84BCC" w:rsidRPr="0077267A" w:rsidRDefault="00B84BCC" w:rsidP="0077267A">
            <w:pPr>
              <w:jc w:val="center"/>
              <w:rPr>
                <w:rFonts w:ascii="Arial" w:hAnsi="Arial" w:cs="Arial"/>
                <w:b/>
                <w:sz w:val="20"/>
                <w:szCs w:val="20"/>
                <w:highlight w:val="yellow"/>
              </w:rPr>
            </w:pPr>
          </w:p>
        </w:tc>
        <w:tc>
          <w:tcPr>
            <w:tcW w:w="2008" w:type="dxa"/>
            <w:vMerge w:val="restart"/>
            <w:vAlign w:val="center"/>
          </w:tcPr>
          <w:p w:rsidR="00B84BCC" w:rsidRPr="0077267A" w:rsidRDefault="00B84BCC" w:rsidP="00B84BCC">
            <w:pPr>
              <w:jc w:val="center"/>
              <w:rPr>
                <w:rFonts w:ascii="Arial" w:hAnsi="Arial" w:cs="Arial"/>
                <w:b/>
                <w:sz w:val="20"/>
                <w:szCs w:val="20"/>
                <w:highlight w:val="yellow"/>
              </w:rPr>
            </w:pPr>
            <w:r w:rsidRPr="0077267A">
              <w:rPr>
                <w:rFonts w:ascii="Arial" w:hAnsi="Arial" w:cs="Arial"/>
                <w:b/>
                <w:sz w:val="20"/>
                <w:szCs w:val="20"/>
                <w:highlight w:val="yellow"/>
              </w:rPr>
              <w:t>Operative Date</w:t>
            </w:r>
          </w:p>
        </w:tc>
        <w:tc>
          <w:tcPr>
            <w:tcW w:w="4589" w:type="dxa"/>
            <w:gridSpan w:val="3"/>
            <w:vAlign w:val="center"/>
          </w:tcPr>
          <w:p w:rsidR="00B84BCC" w:rsidRPr="0077267A" w:rsidRDefault="00B84BCC" w:rsidP="00B84BCC">
            <w:pPr>
              <w:jc w:val="center"/>
              <w:rPr>
                <w:rFonts w:ascii="Arial" w:hAnsi="Arial" w:cs="Arial"/>
                <w:b/>
                <w:sz w:val="20"/>
                <w:szCs w:val="20"/>
                <w:highlight w:val="yellow"/>
              </w:rPr>
            </w:pPr>
            <w:r w:rsidRPr="0077267A">
              <w:rPr>
                <w:rFonts w:ascii="Arial" w:hAnsi="Arial" w:cs="Arial"/>
                <w:b/>
                <w:sz w:val="20"/>
                <w:szCs w:val="20"/>
                <w:highlight w:val="yellow"/>
              </w:rPr>
              <w:t>Standard, Capacity and Usage Based Charging Additional Annual Rental</w:t>
            </w:r>
          </w:p>
          <w:p w:rsidR="00B84BCC" w:rsidRPr="0077267A" w:rsidRDefault="00B84BCC" w:rsidP="0077267A">
            <w:pPr>
              <w:jc w:val="center"/>
              <w:rPr>
                <w:rFonts w:ascii="Arial" w:hAnsi="Arial" w:cs="Arial"/>
                <w:b/>
                <w:sz w:val="20"/>
                <w:szCs w:val="20"/>
                <w:highlight w:val="yellow"/>
              </w:rPr>
            </w:pPr>
            <w:r w:rsidRPr="0077267A">
              <w:rPr>
                <w:rFonts w:ascii="Arial" w:hAnsi="Arial" w:cs="Arial"/>
                <w:b/>
                <w:sz w:val="20"/>
                <w:szCs w:val="20"/>
                <w:highlight w:val="yellow"/>
              </w:rPr>
              <w:t>(£)</w:t>
            </w:r>
          </w:p>
        </w:tc>
      </w:tr>
      <w:tr w:rsidR="00B84BCC" w:rsidRPr="0077267A" w:rsidTr="006A4A4F">
        <w:trPr>
          <w:trHeight w:val="383"/>
        </w:trPr>
        <w:tc>
          <w:tcPr>
            <w:tcW w:w="3838" w:type="dxa"/>
            <w:vMerge/>
            <w:vAlign w:val="center"/>
          </w:tcPr>
          <w:p w:rsidR="00B84BCC" w:rsidRPr="0077267A" w:rsidRDefault="00B84BCC" w:rsidP="0077267A">
            <w:pPr>
              <w:ind w:right="-108"/>
              <w:jc w:val="center"/>
              <w:rPr>
                <w:rFonts w:ascii="Arial" w:hAnsi="Arial" w:cs="Arial"/>
                <w:sz w:val="20"/>
                <w:szCs w:val="20"/>
                <w:highlight w:val="yellow"/>
              </w:rPr>
            </w:pPr>
          </w:p>
        </w:tc>
        <w:tc>
          <w:tcPr>
            <w:tcW w:w="2008" w:type="dxa"/>
            <w:vMerge/>
          </w:tcPr>
          <w:p w:rsidR="00B84BCC" w:rsidRPr="0077267A" w:rsidRDefault="00B84BCC" w:rsidP="0077267A">
            <w:pPr>
              <w:ind w:right="-108"/>
              <w:jc w:val="center"/>
              <w:rPr>
                <w:rFonts w:ascii="Arial" w:hAnsi="Arial" w:cs="Arial"/>
                <w:b/>
                <w:sz w:val="20"/>
                <w:szCs w:val="20"/>
                <w:highlight w:val="yellow"/>
              </w:rPr>
            </w:pPr>
          </w:p>
        </w:tc>
        <w:tc>
          <w:tcPr>
            <w:tcW w:w="1434" w:type="dxa"/>
            <w:vAlign w:val="center"/>
          </w:tcPr>
          <w:p w:rsidR="00B84BCC" w:rsidRPr="0077267A" w:rsidRDefault="00B84BCC" w:rsidP="0077267A">
            <w:pPr>
              <w:ind w:right="-108"/>
              <w:jc w:val="center"/>
              <w:rPr>
                <w:rFonts w:ascii="Arial" w:hAnsi="Arial" w:cs="Arial"/>
                <w:b/>
                <w:sz w:val="20"/>
                <w:szCs w:val="20"/>
                <w:highlight w:val="yellow"/>
              </w:rPr>
            </w:pPr>
            <w:r w:rsidRPr="0077267A">
              <w:rPr>
                <w:rFonts w:ascii="Arial" w:hAnsi="Arial" w:cs="Arial"/>
                <w:b/>
                <w:sz w:val="20"/>
                <w:szCs w:val="20"/>
                <w:highlight w:val="yellow"/>
              </w:rPr>
              <w:t>Market 1</w:t>
            </w:r>
          </w:p>
        </w:tc>
        <w:tc>
          <w:tcPr>
            <w:tcW w:w="1578" w:type="dxa"/>
            <w:vAlign w:val="center"/>
          </w:tcPr>
          <w:p w:rsidR="00B84BCC" w:rsidRPr="0077267A" w:rsidRDefault="00B84BCC" w:rsidP="0077267A">
            <w:pPr>
              <w:ind w:right="-108"/>
              <w:jc w:val="center"/>
              <w:rPr>
                <w:rFonts w:ascii="Arial" w:hAnsi="Arial" w:cs="Arial"/>
                <w:b/>
                <w:sz w:val="20"/>
                <w:szCs w:val="20"/>
                <w:highlight w:val="yellow"/>
              </w:rPr>
            </w:pPr>
            <w:r w:rsidRPr="0077267A">
              <w:rPr>
                <w:rFonts w:ascii="Arial" w:hAnsi="Arial" w:cs="Arial"/>
                <w:b/>
                <w:sz w:val="20"/>
                <w:szCs w:val="20"/>
                <w:highlight w:val="yellow"/>
              </w:rPr>
              <w:t>Market 2</w:t>
            </w:r>
          </w:p>
        </w:tc>
        <w:tc>
          <w:tcPr>
            <w:tcW w:w="1578" w:type="dxa"/>
            <w:vAlign w:val="center"/>
          </w:tcPr>
          <w:p w:rsidR="00B84BCC" w:rsidRPr="0077267A" w:rsidRDefault="00B84BCC" w:rsidP="0077267A">
            <w:pPr>
              <w:ind w:right="-108"/>
              <w:jc w:val="center"/>
              <w:rPr>
                <w:rFonts w:ascii="Arial" w:hAnsi="Arial" w:cs="Arial"/>
                <w:b/>
                <w:sz w:val="20"/>
                <w:szCs w:val="20"/>
                <w:highlight w:val="yellow"/>
              </w:rPr>
            </w:pPr>
            <w:r w:rsidRPr="0077267A">
              <w:rPr>
                <w:rFonts w:ascii="Arial" w:hAnsi="Arial" w:cs="Arial"/>
                <w:b/>
                <w:sz w:val="20"/>
                <w:szCs w:val="20"/>
                <w:highlight w:val="yellow"/>
              </w:rPr>
              <w:t>Market 3</w:t>
            </w:r>
          </w:p>
        </w:tc>
      </w:tr>
      <w:tr w:rsidR="0077267A" w:rsidRPr="0077267A" w:rsidTr="006A4A4F">
        <w:trPr>
          <w:trHeight w:val="184"/>
        </w:trPr>
        <w:tc>
          <w:tcPr>
            <w:tcW w:w="3838" w:type="dxa"/>
            <w:vAlign w:val="center"/>
          </w:tcPr>
          <w:p w:rsidR="0077267A" w:rsidRPr="0077267A" w:rsidRDefault="0077267A" w:rsidP="0077267A">
            <w:pPr>
              <w:ind w:right="-108"/>
              <w:rPr>
                <w:rFonts w:ascii="Arial" w:hAnsi="Arial" w:cs="Arial"/>
                <w:sz w:val="20"/>
                <w:szCs w:val="20"/>
                <w:highlight w:val="yellow"/>
              </w:rPr>
            </w:pPr>
            <w:r w:rsidRPr="0077267A">
              <w:rPr>
                <w:rFonts w:ascii="Arial" w:hAnsi="Arial" w:cs="Arial"/>
                <w:sz w:val="20"/>
                <w:szCs w:val="20"/>
                <w:highlight w:val="yellow"/>
              </w:rPr>
              <w:t>BT IPstream Home 500</w:t>
            </w:r>
          </w:p>
        </w:tc>
        <w:tc>
          <w:tcPr>
            <w:tcW w:w="2008" w:type="dxa"/>
            <w:vMerge w:val="restart"/>
            <w:vAlign w:val="center"/>
          </w:tcPr>
          <w:p w:rsidR="0077267A" w:rsidRPr="0077267A" w:rsidRDefault="0077267A" w:rsidP="0077267A">
            <w:pPr>
              <w:ind w:right="-108"/>
              <w:jc w:val="center"/>
              <w:rPr>
                <w:rFonts w:ascii="Arial" w:hAnsi="Arial" w:cs="Arial"/>
                <w:sz w:val="20"/>
                <w:szCs w:val="20"/>
                <w:highlight w:val="yellow"/>
              </w:rPr>
            </w:pPr>
            <w:r w:rsidRPr="0077267A">
              <w:rPr>
                <w:rFonts w:ascii="Arial" w:hAnsi="Arial" w:cs="Arial"/>
                <w:sz w:val="20"/>
                <w:szCs w:val="20"/>
                <w:highlight w:val="yellow"/>
              </w:rPr>
              <w:t>Please refer to “Retirement charging operative dates” table below</w:t>
            </w:r>
          </w:p>
        </w:tc>
        <w:tc>
          <w:tcPr>
            <w:tcW w:w="1434" w:type="dxa"/>
            <w:vAlign w:val="center"/>
          </w:tcPr>
          <w:p w:rsidR="0077267A" w:rsidRDefault="0077267A" w:rsidP="0077267A">
            <w:pPr>
              <w:jc w:val="center"/>
            </w:pPr>
            <w:r w:rsidRPr="00BE680B">
              <w:rPr>
                <w:rFonts w:ascii="Arial" w:hAnsi="Arial" w:cs="Arial"/>
                <w:sz w:val="20"/>
                <w:szCs w:val="20"/>
                <w:highlight w:val="yellow"/>
              </w:rPr>
              <w:t>-</w:t>
            </w:r>
          </w:p>
        </w:tc>
        <w:tc>
          <w:tcPr>
            <w:tcW w:w="1578" w:type="dxa"/>
            <w:vAlign w:val="center"/>
          </w:tcPr>
          <w:p w:rsidR="0077267A" w:rsidRDefault="0077267A" w:rsidP="0077267A">
            <w:pPr>
              <w:jc w:val="center"/>
            </w:pPr>
            <w:r w:rsidRPr="00BE680B">
              <w:rPr>
                <w:rFonts w:ascii="Arial" w:hAnsi="Arial" w:cs="Arial"/>
                <w:sz w:val="20"/>
                <w:szCs w:val="20"/>
                <w:highlight w:val="yellow"/>
              </w:rPr>
              <w:t>-</w:t>
            </w:r>
          </w:p>
        </w:tc>
        <w:tc>
          <w:tcPr>
            <w:tcW w:w="1578" w:type="dxa"/>
            <w:vAlign w:val="center"/>
          </w:tcPr>
          <w:p w:rsidR="0077267A" w:rsidRPr="005A50F6" w:rsidRDefault="005A50F6" w:rsidP="005A50F6">
            <w:pPr>
              <w:ind w:right="-108"/>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269"/>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Home 1000</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328"/>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Home 2000</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280"/>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Max</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280"/>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 xml:space="preserve">BT IPstream Max BET 1M and 2M </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280"/>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Office 500</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280"/>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Office 1000</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77267A" w:rsidTr="006A4A4F">
        <w:trPr>
          <w:trHeight w:val="280"/>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Office 2000</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r w:rsidR="005A50F6" w:rsidRPr="00F10DEB" w:rsidTr="006A4A4F">
        <w:trPr>
          <w:trHeight w:val="280"/>
        </w:trPr>
        <w:tc>
          <w:tcPr>
            <w:tcW w:w="3838" w:type="dxa"/>
            <w:vAlign w:val="center"/>
          </w:tcPr>
          <w:p w:rsidR="005A50F6" w:rsidRPr="0077267A" w:rsidRDefault="005A50F6" w:rsidP="0077267A">
            <w:pPr>
              <w:ind w:right="-108"/>
              <w:rPr>
                <w:rFonts w:ascii="Arial" w:hAnsi="Arial" w:cs="Arial"/>
                <w:sz w:val="20"/>
                <w:szCs w:val="20"/>
                <w:highlight w:val="yellow"/>
              </w:rPr>
            </w:pPr>
            <w:r w:rsidRPr="0077267A">
              <w:rPr>
                <w:rFonts w:ascii="Arial" w:hAnsi="Arial" w:cs="Arial"/>
                <w:sz w:val="20"/>
                <w:szCs w:val="20"/>
                <w:highlight w:val="yellow"/>
              </w:rPr>
              <w:t>BT IPstream Max Premium</w:t>
            </w:r>
          </w:p>
        </w:tc>
        <w:tc>
          <w:tcPr>
            <w:tcW w:w="2008" w:type="dxa"/>
            <w:vMerge/>
          </w:tcPr>
          <w:p w:rsidR="005A50F6" w:rsidRPr="0077267A" w:rsidRDefault="005A50F6" w:rsidP="0077267A">
            <w:pPr>
              <w:ind w:right="-108"/>
              <w:jc w:val="center"/>
              <w:rPr>
                <w:rFonts w:ascii="Arial" w:hAnsi="Arial" w:cs="Arial"/>
                <w:sz w:val="20"/>
                <w:szCs w:val="20"/>
                <w:highlight w:val="yellow"/>
              </w:rPr>
            </w:pPr>
          </w:p>
        </w:tc>
        <w:tc>
          <w:tcPr>
            <w:tcW w:w="1434"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Default="005A50F6" w:rsidP="0077267A">
            <w:pPr>
              <w:jc w:val="center"/>
            </w:pPr>
            <w:r w:rsidRPr="00BE680B">
              <w:rPr>
                <w:rFonts w:ascii="Arial" w:hAnsi="Arial" w:cs="Arial"/>
                <w:sz w:val="20"/>
                <w:szCs w:val="20"/>
                <w:highlight w:val="yellow"/>
              </w:rPr>
              <w:t>-</w:t>
            </w:r>
          </w:p>
        </w:tc>
        <w:tc>
          <w:tcPr>
            <w:tcW w:w="1578" w:type="dxa"/>
            <w:vAlign w:val="center"/>
          </w:tcPr>
          <w:p w:rsidR="005A50F6" w:rsidRPr="005A50F6" w:rsidRDefault="005A50F6" w:rsidP="005A50F6">
            <w:pPr>
              <w:jc w:val="center"/>
              <w:rPr>
                <w:rFonts w:ascii="Arial" w:hAnsi="Arial" w:cs="Arial"/>
                <w:sz w:val="20"/>
                <w:szCs w:val="20"/>
                <w:highlight w:val="yellow"/>
              </w:rPr>
            </w:pPr>
            <w:r w:rsidRPr="005A50F6">
              <w:rPr>
                <w:rFonts w:ascii="Arial" w:hAnsi="Arial" w:cs="Arial"/>
                <w:sz w:val="20"/>
                <w:szCs w:val="20"/>
                <w:highlight w:val="yellow"/>
              </w:rPr>
              <w:t>24.00</w:t>
            </w:r>
          </w:p>
        </w:tc>
      </w:tr>
    </w:tbl>
    <w:p w:rsidR="0077267A" w:rsidRDefault="0077267A" w:rsidP="00302E7A">
      <w:pPr>
        <w:ind w:right="98"/>
        <w:rPr>
          <w:rFonts w:ascii="Arial" w:hAnsi="Arial" w:cs="Arial"/>
          <w:b/>
          <w:sz w:val="20"/>
          <w:szCs w:val="20"/>
          <w:u w:val="single"/>
        </w:rPr>
      </w:pPr>
    </w:p>
    <w:p w:rsidR="0077267A" w:rsidRPr="00C072E1" w:rsidRDefault="0077267A" w:rsidP="0077267A">
      <w:pPr>
        <w:spacing w:before="120"/>
        <w:rPr>
          <w:rFonts w:ascii="Arial" w:hAnsi="Arial" w:cs="Arial"/>
          <w:b/>
          <w:sz w:val="20"/>
          <w:szCs w:val="20"/>
          <w:highlight w:val="yellow"/>
        </w:rPr>
      </w:pPr>
      <w:r w:rsidRPr="00C072E1">
        <w:rPr>
          <w:rFonts w:ascii="Arial" w:hAnsi="Arial" w:cs="Arial"/>
          <w:b/>
          <w:sz w:val="20"/>
          <w:szCs w:val="20"/>
          <w:highlight w:val="yellow"/>
        </w:rPr>
        <w:t>Retirement charging operative dates</w:t>
      </w:r>
    </w:p>
    <w:tbl>
      <w:tblPr>
        <w:tblW w:w="9523" w:type="dxa"/>
        <w:tblCellMar>
          <w:left w:w="0" w:type="dxa"/>
          <w:right w:w="0" w:type="dxa"/>
        </w:tblCellMar>
        <w:tblLook w:val="04A0" w:firstRow="1" w:lastRow="0" w:firstColumn="1" w:lastColumn="0" w:noHBand="0" w:noVBand="1"/>
      </w:tblPr>
      <w:tblGrid>
        <w:gridCol w:w="1261"/>
        <w:gridCol w:w="2435"/>
        <w:gridCol w:w="3457"/>
        <w:gridCol w:w="2370"/>
      </w:tblGrid>
      <w:tr w:rsidR="0077267A" w:rsidRPr="00C072E1" w:rsidTr="0077267A">
        <w:trPr>
          <w:trHeight w:val="593"/>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267A" w:rsidRPr="00C072E1" w:rsidRDefault="0077267A" w:rsidP="0077267A">
            <w:pPr>
              <w:spacing w:after="200" w:line="276" w:lineRule="auto"/>
              <w:jc w:val="center"/>
              <w:rPr>
                <w:rFonts w:ascii="Arial" w:eastAsiaTheme="minorHAnsi" w:hAnsi="Arial" w:cs="Arial"/>
                <w:b/>
                <w:sz w:val="20"/>
                <w:szCs w:val="20"/>
                <w:highlight w:val="yellow"/>
                <w:lang w:eastAsia="en-US"/>
              </w:rPr>
            </w:pPr>
            <w:r>
              <w:rPr>
                <w:rFonts w:ascii="Arial" w:eastAsiaTheme="minorHAnsi" w:hAnsi="Arial" w:cs="Arial"/>
                <w:b/>
                <w:bCs/>
                <w:sz w:val="20"/>
                <w:szCs w:val="20"/>
                <w:highlight w:val="yellow"/>
                <w:lang w:eastAsia="en-US"/>
              </w:rPr>
              <w:t>Retirement p</w:t>
            </w:r>
            <w:r w:rsidRPr="00C072E1">
              <w:rPr>
                <w:rFonts w:ascii="Arial" w:eastAsiaTheme="minorHAnsi" w:hAnsi="Arial" w:cs="Arial"/>
                <w:b/>
                <w:bCs/>
                <w:sz w:val="20"/>
                <w:szCs w:val="20"/>
                <w:highlight w:val="yellow"/>
                <w:lang w:eastAsia="en-US"/>
              </w:rPr>
              <w:t>has</w:t>
            </w:r>
            <w:r>
              <w:rPr>
                <w:rFonts w:ascii="Arial" w:eastAsiaTheme="minorHAnsi" w:hAnsi="Arial" w:cs="Arial"/>
                <w:b/>
                <w:bCs/>
                <w:sz w:val="20"/>
                <w:szCs w:val="20"/>
                <w:highlight w:val="yellow"/>
                <w:lang w:eastAsia="en-US"/>
              </w:rPr>
              <w:t>e</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267A" w:rsidRPr="00C072E1" w:rsidRDefault="0077267A" w:rsidP="0077267A">
            <w:pPr>
              <w:spacing w:after="200" w:line="276" w:lineRule="auto"/>
              <w:jc w:val="center"/>
              <w:rPr>
                <w:rFonts w:ascii="Arial" w:eastAsiaTheme="minorHAnsi" w:hAnsi="Arial" w:cs="Arial"/>
                <w:b/>
                <w:sz w:val="20"/>
                <w:szCs w:val="20"/>
                <w:highlight w:val="yellow"/>
                <w:lang w:eastAsia="en-US"/>
              </w:rPr>
            </w:pPr>
            <w:r w:rsidRPr="00C072E1">
              <w:rPr>
                <w:rFonts w:ascii="Arial" w:eastAsiaTheme="minorHAnsi" w:hAnsi="Arial" w:cs="Arial"/>
                <w:b/>
                <w:bCs/>
                <w:sz w:val="20"/>
                <w:szCs w:val="20"/>
                <w:highlight w:val="yellow"/>
                <w:lang w:eastAsia="en-US"/>
              </w:rPr>
              <w:t>Volume of exchanges</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267A" w:rsidRPr="00C072E1" w:rsidRDefault="0077267A" w:rsidP="0077267A">
            <w:pPr>
              <w:spacing w:after="200" w:line="276" w:lineRule="auto"/>
              <w:jc w:val="center"/>
              <w:rPr>
                <w:rFonts w:ascii="Arial" w:eastAsiaTheme="minorHAnsi" w:hAnsi="Arial" w:cs="Arial"/>
                <w:b/>
                <w:sz w:val="20"/>
                <w:szCs w:val="20"/>
                <w:highlight w:val="yellow"/>
                <w:lang w:eastAsia="en-US"/>
              </w:rPr>
            </w:pPr>
            <w:r>
              <w:rPr>
                <w:rFonts w:ascii="Arial" w:eastAsiaTheme="minorHAnsi" w:hAnsi="Arial" w:cs="Arial"/>
                <w:b/>
                <w:bCs/>
                <w:sz w:val="20"/>
                <w:szCs w:val="20"/>
                <w:highlight w:val="yellow"/>
                <w:lang w:eastAsia="en-US"/>
              </w:rPr>
              <w:t>Published retirement d</w:t>
            </w:r>
            <w:r w:rsidRPr="00C072E1">
              <w:rPr>
                <w:rFonts w:ascii="Arial" w:eastAsiaTheme="minorHAnsi" w:hAnsi="Arial" w:cs="Arial"/>
                <w:b/>
                <w:bCs/>
                <w:sz w:val="20"/>
                <w:szCs w:val="20"/>
                <w:highlight w:val="yellow"/>
                <w:lang w:eastAsia="en-US"/>
              </w:rPr>
              <w:t>ate</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267A" w:rsidRPr="00C072E1" w:rsidRDefault="0077267A" w:rsidP="006A4A4F">
            <w:pPr>
              <w:spacing w:after="200" w:line="276" w:lineRule="auto"/>
              <w:jc w:val="center"/>
              <w:rPr>
                <w:rFonts w:ascii="Arial" w:eastAsiaTheme="minorHAnsi" w:hAnsi="Arial" w:cs="Arial"/>
                <w:b/>
                <w:sz w:val="20"/>
                <w:szCs w:val="20"/>
                <w:highlight w:val="yellow"/>
                <w:lang w:eastAsia="en-US"/>
              </w:rPr>
            </w:pPr>
            <w:r w:rsidRPr="009E64A7">
              <w:rPr>
                <w:rFonts w:ascii="Arial" w:eastAsiaTheme="minorHAnsi" w:hAnsi="Arial" w:cs="Arial"/>
                <w:b/>
                <w:bCs/>
                <w:sz w:val="20"/>
                <w:szCs w:val="20"/>
                <w:highlight w:val="yellow"/>
                <w:lang w:eastAsia="en-US"/>
              </w:rPr>
              <w:t>Operative date for additional End User Access Rentals</w:t>
            </w:r>
          </w:p>
        </w:tc>
      </w:tr>
      <w:tr w:rsidR="0077267A" w:rsidRPr="00C072E1" w:rsidTr="0077267A">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425</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31.10.13</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9E64A7" w:rsidRDefault="0077267A" w:rsidP="0077267A">
            <w:pPr>
              <w:spacing w:after="200" w:line="276" w:lineRule="auto"/>
              <w:jc w:val="center"/>
              <w:rPr>
                <w:rFonts w:ascii="Arial" w:eastAsiaTheme="minorHAnsi" w:hAnsi="Arial" w:cs="Arial"/>
                <w:sz w:val="20"/>
                <w:szCs w:val="20"/>
                <w:highlight w:val="yellow"/>
                <w:lang w:eastAsia="en-US"/>
              </w:rPr>
            </w:pPr>
            <w:r w:rsidRPr="009E64A7">
              <w:rPr>
                <w:rFonts w:ascii="Arial" w:eastAsiaTheme="minorHAnsi" w:hAnsi="Arial" w:cs="Arial"/>
                <w:sz w:val="20"/>
                <w:szCs w:val="20"/>
                <w:highlight w:val="yellow"/>
                <w:lang w:eastAsia="en-US"/>
              </w:rPr>
              <w:t>01.11.13</w:t>
            </w:r>
          </w:p>
        </w:tc>
      </w:tr>
      <w:tr w:rsidR="0077267A" w:rsidRPr="00C072E1" w:rsidTr="0077267A">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425</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30.11.13</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9E64A7" w:rsidRDefault="0077267A" w:rsidP="0077267A">
            <w:pPr>
              <w:jc w:val="center"/>
              <w:rPr>
                <w:rFonts w:ascii="Arial" w:hAnsi="Arial" w:cs="Arial"/>
                <w:sz w:val="20"/>
                <w:szCs w:val="20"/>
                <w:highlight w:val="yellow"/>
              </w:rPr>
            </w:pPr>
            <w:r w:rsidRPr="009E64A7">
              <w:rPr>
                <w:rFonts w:ascii="Arial" w:hAnsi="Arial" w:cs="Arial"/>
                <w:sz w:val="20"/>
                <w:szCs w:val="20"/>
                <w:highlight w:val="yellow"/>
              </w:rPr>
              <w:t>01.12.13</w:t>
            </w:r>
          </w:p>
        </w:tc>
      </w:tr>
      <w:tr w:rsidR="0077267A" w:rsidRPr="00C072E1" w:rsidTr="0077267A">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lastRenderedPageBreak/>
              <w:t>3</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275</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31.12.13</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9E64A7" w:rsidRDefault="0077267A" w:rsidP="0077267A">
            <w:pPr>
              <w:jc w:val="center"/>
              <w:rPr>
                <w:rFonts w:ascii="Arial" w:hAnsi="Arial" w:cs="Arial"/>
                <w:sz w:val="20"/>
                <w:szCs w:val="20"/>
                <w:highlight w:val="yellow"/>
              </w:rPr>
            </w:pPr>
            <w:r w:rsidRPr="009E64A7">
              <w:rPr>
                <w:rFonts w:ascii="Arial" w:hAnsi="Arial" w:cs="Arial"/>
                <w:sz w:val="20"/>
                <w:szCs w:val="20"/>
                <w:highlight w:val="yellow"/>
              </w:rPr>
              <w:t>01.01.14</w:t>
            </w:r>
          </w:p>
        </w:tc>
      </w:tr>
      <w:tr w:rsidR="0077267A" w:rsidRPr="00C072E1" w:rsidTr="0077267A">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4</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233</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C072E1" w:rsidRDefault="0077267A" w:rsidP="0077267A">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31.01.14</w:t>
            </w:r>
          </w:p>
        </w:tc>
        <w:tc>
          <w:tcPr>
            <w:tcW w:w="23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267A" w:rsidRPr="009E64A7" w:rsidRDefault="00023EB5" w:rsidP="0077267A">
            <w:pPr>
              <w:jc w:val="center"/>
              <w:rPr>
                <w:rFonts w:ascii="Arial" w:hAnsi="Arial" w:cs="Arial"/>
                <w:sz w:val="20"/>
                <w:szCs w:val="20"/>
                <w:highlight w:val="yellow"/>
              </w:rPr>
            </w:pPr>
            <w:r>
              <w:rPr>
                <w:rFonts w:ascii="Arial" w:hAnsi="Arial" w:cs="Arial"/>
                <w:sz w:val="20"/>
                <w:szCs w:val="20"/>
                <w:highlight w:val="yellow"/>
              </w:rPr>
              <w:t>01</w:t>
            </w:r>
            <w:r w:rsidR="0077267A" w:rsidRPr="009E64A7">
              <w:rPr>
                <w:rFonts w:ascii="Arial" w:hAnsi="Arial" w:cs="Arial"/>
                <w:sz w:val="20"/>
                <w:szCs w:val="20"/>
                <w:highlight w:val="yellow"/>
              </w:rPr>
              <w:t>.02.14</w:t>
            </w:r>
          </w:p>
        </w:tc>
      </w:tr>
    </w:tbl>
    <w:p w:rsidR="00B84BCC" w:rsidRDefault="00B84BCC" w:rsidP="00302E7A">
      <w:pPr>
        <w:ind w:right="98"/>
        <w:rPr>
          <w:rFonts w:ascii="Arial" w:hAnsi="Arial" w:cs="Arial"/>
          <w:b/>
          <w:sz w:val="20"/>
          <w:szCs w:val="20"/>
          <w:u w:val="single"/>
        </w:rPr>
      </w:pPr>
    </w:p>
    <w:p w:rsidR="00B84BCC" w:rsidRDefault="00B84BCC" w:rsidP="00302E7A">
      <w:pPr>
        <w:ind w:right="98"/>
        <w:rPr>
          <w:rFonts w:ascii="Arial" w:hAnsi="Arial" w:cs="Arial"/>
          <w:b/>
          <w:sz w:val="20"/>
          <w:szCs w:val="20"/>
          <w:u w:val="single"/>
        </w:rPr>
      </w:pPr>
    </w:p>
    <w:p w:rsidR="00B84BCC" w:rsidRDefault="00B84BCC"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6"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7"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5"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5"/>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6"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6"/>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20"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1"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2"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3"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lastRenderedPageBreak/>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4"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5"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6"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7"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7"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7"/>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lastRenderedPageBreak/>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8" w:name="Billing_Frequency"/>
      <w:r w:rsidRPr="00472619">
        <w:rPr>
          <w:rFonts w:ascii="Arial" w:hAnsi="Arial"/>
          <w:b/>
          <w:sz w:val="20"/>
          <w:szCs w:val="20"/>
          <w:u w:val="single"/>
        </w:rPr>
        <w:t>Billing Frequency</w:t>
      </w:r>
      <w:bookmarkEnd w:id="8"/>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9"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9"/>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10"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8"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10"/>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9"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30"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1" w:name="PRODUCT_DESCRIPTION"/>
      <w:r w:rsidRPr="00161603">
        <w:rPr>
          <w:rFonts w:ascii="Arial" w:hAnsi="Arial" w:cs="Arial"/>
          <w:b/>
          <w:sz w:val="20"/>
          <w:szCs w:val="20"/>
          <w:u w:val="single"/>
        </w:rPr>
        <w:lastRenderedPageBreak/>
        <w:t>Product</w:t>
      </w:r>
      <w:r w:rsidR="00711067">
        <w:rPr>
          <w:rFonts w:ascii="Arial" w:hAnsi="Arial" w:cs="Arial"/>
          <w:b/>
          <w:sz w:val="20"/>
          <w:szCs w:val="20"/>
          <w:u w:val="single"/>
        </w:rPr>
        <w:t xml:space="preserve"> and Pricing Information</w:t>
      </w:r>
      <w:bookmarkEnd w:id="11"/>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1"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2"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lastRenderedPageBreak/>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2"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2"/>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lastRenderedPageBreak/>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3"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lastRenderedPageBreak/>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AD0B77"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4" w:name="Shift_Charges"/>
      <w:bookmarkEnd w:id="13"/>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lastRenderedPageBreak/>
        <w:t>Shift Charges</w:t>
      </w:r>
      <w:bookmarkEnd w:id="14"/>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3"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lastRenderedPageBreak/>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9"/>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5" w:name="Additional_Charges"/>
      <w:r w:rsidRPr="00180477">
        <w:rPr>
          <w:rFonts w:ascii="Arial" w:hAnsi="Arial" w:cs="Arial"/>
          <w:b/>
          <w:sz w:val="20"/>
          <w:szCs w:val="20"/>
          <w:u w:val="single"/>
        </w:rPr>
        <w:t>Additional Charge</w:t>
      </w:r>
      <w:bookmarkEnd w:id="15"/>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6"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6"/>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4"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5"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7"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7"/>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6"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7"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8" w:name="Order_Cancellations"/>
    </w:p>
    <w:bookmarkEnd w:id="18"/>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9" w:name="BT_Central_Plus_Order_Suspensions"/>
    </w:p>
    <w:bookmarkEnd w:id="19"/>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C745CA" w:rsidRDefault="00C745CA"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4D5BBC" w:rsidRDefault="00174002" w:rsidP="007524AE">
            <w:pPr>
              <w:jc w:val="center"/>
              <w:rPr>
                <w:rFonts w:ascii="Arial" w:hAnsi="Arial" w:cs="Arial"/>
                <w:color w:val="000000" w:themeColor="text1"/>
                <w:sz w:val="20"/>
                <w:szCs w:val="20"/>
              </w:rPr>
            </w:pPr>
            <w:r w:rsidRPr="004D5BBC">
              <w:rPr>
                <w:rFonts w:ascii="Arial" w:hAnsi="Arial" w:cs="Arial"/>
                <w:color w:val="000000" w:themeColor="text1"/>
                <w:sz w:val="20"/>
                <w:szCs w:val="20"/>
              </w:rPr>
              <w:t>14</w:t>
            </w:r>
            <w:r w:rsidR="007524AE" w:rsidRPr="004D5BBC">
              <w:rPr>
                <w:rFonts w:ascii="Arial" w:hAnsi="Arial" w:cs="Arial"/>
                <w:color w:val="000000" w:themeColor="text1"/>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C50BCD" w:rsidRPr="00E512BC" w:rsidRDefault="00C50BCD" w:rsidP="00C50BCD">
      <w:pPr>
        <w:rPr>
          <w:rFonts w:ascii="Arial" w:hAnsi="Arial" w:cs="Arial"/>
          <w:sz w:val="20"/>
          <w:szCs w:val="20"/>
        </w:rPr>
      </w:pPr>
    </w:p>
    <w:p w:rsidR="00C50BCD" w:rsidRPr="00E512BC" w:rsidRDefault="00C50BCD" w:rsidP="00C50BCD">
      <w:pPr>
        <w:rPr>
          <w:rStyle w:val="spplbodytext"/>
          <w:rFonts w:ascii="Arial" w:hAnsi="Arial" w:cs="Arial"/>
          <w:sz w:val="20"/>
          <w:szCs w:val="20"/>
        </w:rPr>
      </w:pPr>
      <w:r>
        <w:rPr>
          <w:rFonts w:ascii="Arial" w:hAnsi="Arial" w:cs="Arial"/>
          <w:noProof/>
          <w:sz w:val="20"/>
          <w:szCs w:val="20"/>
        </w:rPr>
        <w:drawing>
          <wp:inline distT="0" distB="0" distL="0" distR="0" wp14:anchorId="7CBF8641" wp14:editId="5A8E57BC">
            <wp:extent cx="9525" cy="9525"/>
            <wp:effectExtent l="0" t="0" r="0" b="0"/>
            <wp:docPr id="25"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12BC">
        <w:rPr>
          <w:rFonts w:ascii="Arial" w:hAnsi="Arial" w:cs="Arial"/>
          <w:b/>
          <w:sz w:val="20"/>
          <w:szCs w:val="20"/>
          <w:u w:val="single"/>
        </w:rPr>
        <w:t>Pricing Information</w:t>
      </w:r>
      <w:r w:rsidRPr="00E512BC">
        <w:rPr>
          <w:rFonts w:ascii="Arial" w:hAnsi="Arial" w:cs="Arial"/>
          <w:b/>
          <w:sz w:val="20"/>
          <w:szCs w:val="20"/>
        </w:rPr>
        <w:t xml:space="preserve"> </w:t>
      </w:r>
    </w:p>
    <w:p w:rsidR="00C50BCD" w:rsidRPr="00E512BC" w:rsidRDefault="00C50BCD" w:rsidP="00C50BCD">
      <w:pPr>
        <w:rPr>
          <w:rStyle w:val="spplbodytext"/>
          <w:rFonts w:ascii="Arial" w:hAnsi="Arial" w:cs="Arial"/>
          <w:sz w:val="20"/>
          <w:szCs w:val="20"/>
        </w:rPr>
      </w:pPr>
    </w:p>
    <w:p w:rsidR="00C50BCD" w:rsidRPr="00E512BC" w:rsidRDefault="00C50BCD" w:rsidP="00C50BCD">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C50BCD" w:rsidRPr="00E512BC" w:rsidRDefault="00C50BCD" w:rsidP="00C50BCD">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C50BCD" w:rsidRPr="00E512BC" w:rsidTr="002839D4">
        <w:trPr>
          <w:trHeight w:val="454"/>
          <w:jc w:val="center"/>
        </w:trPr>
        <w:tc>
          <w:tcPr>
            <w:tcW w:w="7005" w:type="dxa"/>
            <w:vAlign w:val="center"/>
          </w:tcPr>
          <w:p w:rsidR="00C50BCD" w:rsidRPr="00CF241F" w:rsidRDefault="00C50BCD" w:rsidP="002839D4">
            <w:pPr>
              <w:jc w:val="center"/>
              <w:rPr>
                <w:rFonts w:ascii="Arial" w:hAnsi="Arial" w:cs="Arial"/>
                <w:b/>
                <w:sz w:val="20"/>
                <w:szCs w:val="20"/>
              </w:rPr>
            </w:pPr>
            <w:r w:rsidRPr="00CF241F">
              <w:rPr>
                <w:rFonts w:ascii="Arial" w:hAnsi="Arial" w:cs="Arial"/>
                <w:b/>
                <w:sz w:val="20"/>
                <w:szCs w:val="20"/>
              </w:rPr>
              <w:t>Operative Date 01.03.2013</w:t>
            </w:r>
          </w:p>
        </w:tc>
        <w:tc>
          <w:tcPr>
            <w:tcW w:w="5329" w:type="dxa"/>
            <w:vAlign w:val="center"/>
          </w:tcPr>
          <w:p w:rsidR="00C50BCD" w:rsidRPr="00CF241F" w:rsidRDefault="00C50BCD" w:rsidP="002839D4">
            <w:pPr>
              <w:jc w:val="center"/>
              <w:rPr>
                <w:rFonts w:ascii="Arial" w:hAnsi="Arial" w:cs="Arial"/>
                <w:b/>
                <w:sz w:val="20"/>
                <w:szCs w:val="20"/>
              </w:rPr>
            </w:pPr>
            <w:r w:rsidRPr="00CF241F">
              <w:rPr>
                <w:rFonts w:ascii="Arial" w:hAnsi="Arial" w:cs="Arial"/>
                <w:b/>
                <w:sz w:val="20"/>
                <w:szCs w:val="20"/>
              </w:rPr>
              <w:t>Charges (£)</w:t>
            </w:r>
          </w:p>
        </w:tc>
      </w:tr>
      <w:tr w:rsidR="00C50BCD" w:rsidRPr="00E512BC" w:rsidTr="002839D4">
        <w:trPr>
          <w:trHeight w:val="454"/>
          <w:jc w:val="center"/>
        </w:trPr>
        <w:tc>
          <w:tcPr>
            <w:tcW w:w="7005" w:type="dxa"/>
            <w:vAlign w:val="center"/>
          </w:tcPr>
          <w:p w:rsidR="00C50BCD" w:rsidRPr="00CF241F" w:rsidRDefault="00C50BCD" w:rsidP="002839D4">
            <w:pPr>
              <w:jc w:val="cente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C50BCD" w:rsidRPr="00CF241F" w:rsidRDefault="00C50BCD" w:rsidP="002839D4">
            <w:pPr>
              <w:jc w:val="center"/>
              <w:rPr>
                <w:rFonts w:ascii="Arial" w:hAnsi="Arial" w:cs="Arial"/>
                <w:sz w:val="20"/>
                <w:szCs w:val="20"/>
              </w:rPr>
            </w:pPr>
            <w:r w:rsidRPr="00CF241F">
              <w:rPr>
                <w:rFonts w:ascii="Arial" w:hAnsi="Arial" w:cs="Arial"/>
                <w:sz w:val="20"/>
                <w:szCs w:val="20"/>
              </w:rPr>
              <w:t>140.00</w:t>
            </w:r>
          </w:p>
        </w:tc>
      </w:tr>
      <w:tr w:rsidR="00C50BCD" w:rsidRPr="00E512BC" w:rsidTr="002839D4">
        <w:trPr>
          <w:trHeight w:val="454"/>
          <w:jc w:val="center"/>
        </w:trPr>
        <w:tc>
          <w:tcPr>
            <w:tcW w:w="7005" w:type="dxa"/>
            <w:vAlign w:val="center"/>
          </w:tcPr>
          <w:p w:rsidR="00C50BCD" w:rsidRPr="00D9001D" w:rsidRDefault="00C50BCD" w:rsidP="002839D4">
            <w:pPr>
              <w:jc w:val="cente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C50BCD" w:rsidRPr="00D9001D" w:rsidRDefault="00C50BCD" w:rsidP="002839D4">
            <w:pPr>
              <w:jc w:val="center"/>
              <w:rPr>
                <w:rFonts w:ascii="Arial" w:hAnsi="Arial" w:cs="Arial"/>
                <w:sz w:val="20"/>
                <w:szCs w:val="20"/>
              </w:rPr>
            </w:pPr>
            <w:r w:rsidRPr="00D9001D">
              <w:rPr>
                <w:rFonts w:ascii="Arial" w:hAnsi="Arial" w:cs="Arial"/>
                <w:sz w:val="20"/>
                <w:szCs w:val="20"/>
              </w:rPr>
              <w:t>40.00</w:t>
            </w:r>
          </w:p>
        </w:tc>
      </w:tr>
      <w:tr w:rsidR="00C50BCD" w:rsidRPr="00E512BC" w:rsidTr="002839D4">
        <w:trPr>
          <w:trHeight w:val="454"/>
          <w:jc w:val="center"/>
        </w:trPr>
        <w:tc>
          <w:tcPr>
            <w:tcW w:w="7005" w:type="dxa"/>
            <w:vAlign w:val="center"/>
          </w:tcPr>
          <w:p w:rsidR="00C50BCD" w:rsidRPr="00D9001D" w:rsidRDefault="00C50BCD" w:rsidP="002839D4">
            <w:pPr>
              <w:jc w:val="center"/>
            </w:pPr>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C50BCD" w:rsidRPr="00D9001D" w:rsidRDefault="00C50BCD" w:rsidP="002839D4">
            <w:pPr>
              <w:jc w:val="center"/>
              <w:rPr>
                <w:rFonts w:ascii="Arial" w:hAnsi="Arial" w:cs="Arial"/>
                <w:sz w:val="20"/>
                <w:szCs w:val="20"/>
              </w:rPr>
            </w:pPr>
            <w:r w:rsidRPr="00D9001D">
              <w:rPr>
                <w:rFonts w:ascii="Arial" w:hAnsi="Arial" w:cs="Arial"/>
                <w:sz w:val="20"/>
                <w:szCs w:val="20"/>
              </w:rPr>
              <w:t>20.00</w:t>
            </w:r>
          </w:p>
        </w:tc>
      </w:tr>
      <w:tr w:rsidR="00C50BCD" w:rsidRPr="00E512BC" w:rsidTr="002839D4">
        <w:trPr>
          <w:trHeight w:val="454"/>
          <w:jc w:val="center"/>
        </w:trPr>
        <w:tc>
          <w:tcPr>
            <w:tcW w:w="7005" w:type="dxa"/>
            <w:vAlign w:val="center"/>
          </w:tcPr>
          <w:p w:rsidR="00C50BCD" w:rsidRPr="00E512BC" w:rsidRDefault="00C50BCD" w:rsidP="002839D4">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C50BCD" w:rsidRPr="00CA2450" w:rsidRDefault="00C50BCD" w:rsidP="002839D4">
            <w:pPr>
              <w:jc w:val="center"/>
              <w:rPr>
                <w:rFonts w:ascii="Arial" w:hAnsi="Arial" w:cs="Arial"/>
                <w:sz w:val="20"/>
                <w:szCs w:val="20"/>
              </w:rPr>
            </w:pPr>
            <w:r w:rsidRPr="00CA2450">
              <w:rPr>
                <w:rFonts w:ascii="Arial" w:hAnsi="Arial" w:cs="Arial"/>
                <w:sz w:val="20"/>
                <w:szCs w:val="20"/>
              </w:rPr>
              <w:t>99.00</w:t>
            </w:r>
          </w:p>
        </w:tc>
      </w:tr>
      <w:tr w:rsidR="00C50BCD" w:rsidRPr="00E512BC" w:rsidTr="002839D4">
        <w:trPr>
          <w:trHeight w:val="454"/>
          <w:jc w:val="center"/>
        </w:trPr>
        <w:tc>
          <w:tcPr>
            <w:tcW w:w="7005" w:type="dxa"/>
            <w:vAlign w:val="center"/>
          </w:tcPr>
          <w:p w:rsidR="00C50BCD" w:rsidRPr="00E512BC" w:rsidRDefault="00C50BCD" w:rsidP="002839D4">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C50BCD" w:rsidRPr="00E512BC" w:rsidRDefault="00C50BCD" w:rsidP="002839D4">
            <w:pPr>
              <w:jc w:val="center"/>
              <w:rPr>
                <w:rFonts w:ascii="Arial" w:hAnsi="Arial" w:cs="Arial"/>
                <w:sz w:val="20"/>
                <w:szCs w:val="20"/>
              </w:rPr>
            </w:pPr>
            <w:r w:rsidRPr="00E512BC">
              <w:rPr>
                <w:rFonts w:ascii="Arial" w:hAnsi="Arial" w:cs="Arial"/>
                <w:sz w:val="20"/>
                <w:szCs w:val="20"/>
              </w:rPr>
              <w:t>50.00</w:t>
            </w:r>
          </w:p>
        </w:tc>
      </w:tr>
      <w:tr w:rsidR="00C50BCD" w:rsidRPr="00E512BC" w:rsidTr="002839D4">
        <w:trPr>
          <w:trHeight w:val="454"/>
          <w:jc w:val="center"/>
        </w:trPr>
        <w:tc>
          <w:tcPr>
            <w:tcW w:w="7005" w:type="dxa"/>
            <w:vAlign w:val="center"/>
          </w:tcPr>
          <w:p w:rsidR="00C50BCD" w:rsidRPr="00E512BC" w:rsidRDefault="00C50BCD" w:rsidP="002839D4">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C50BCD" w:rsidRPr="00E7007D" w:rsidRDefault="00C50BCD" w:rsidP="002839D4">
            <w:pPr>
              <w:jc w:val="center"/>
              <w:rPr>
                <w:rFonts w:ascii="Arial" w:hAnsi="Arial" w:cs="Arial"/>
                <w:sz w:val="20"/>
                <w:szCs w:val="20"/>
              </w:rPr>
            </w:pPr>
            <w:r w:rsidRPr="00E7007D">
              <w:rPr>
                <w:rFonts w:ascii="Arial" w:hAnsi="Arial" w:cs="Arial"/>
                <w:sz w:val="20"/>
                <w:szCs w:val="20"/>
              </w:rPr>
              <w:t>50.00</w:t>
            </w:r>
          </w:p>
        </w:tc>
      </w:tr>
      <w:tr w:rsidR="00C50BCD" w:rsidRPr="00E512BC" w:rsidTr="002839D4">
        <w:trPr>
          <w:trHeight w:val="454"/>
          <w:jc w:val="center"/>
        </w:trPr>
        <w:tc>
          <w:tcPr>
            <w:tcW w:w="7005" w:type="dxa"/>
            <w:vAlign w:val="center"/>
          </w:tcPr>
          <w:p w:rsidR="00C50BCD" w:rsidRPr="00E512BC" w:rsidRDefault="00C50BCD" w:rsidP="002839D4">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C50BCD" w:rsidRPr="00E7007D" w:rsidRDefault="00C50BCD" w:rsidP="002839D4">
            <w:pPr>
              <w:jc w:val="center"/>
              <w:rPr>
                <w:rFonts w:ascii="Arial" w:hAnsi="Arial" w:cs="Arial"/>
                <w:sz w:val="20"/>
                <w:szCs w:val="20"/>
              </w:rPr>
            </w:pPr>
            <w:r w:rsidRPr="00E7007D">
              <w:rPr>
                <w:rFonts w:ascii="Arial" w:hAnsi="Arial" w:cs="Arial"/>
                <w:sz w:val="20"/>
                <w:szCs w:val="20"/>
              </w:rPr>
              <w:t>35.00</w:t>
            </w:r>
          </w:p>
        </w:tc>
      </w:tr>
    </w:tbl>
    <w:p w:rsidR="00C50BCD" w:rsidRPr="00E512BC" w:rsidRDefault="00C50BCD" w:rsidP="00C50BCD">
      <w:pPr>
        <w:rPr>
          <w:rFonts w:ascii="Arial" w:hAnsi="Arial" w:cs="Arial"/>
          <w:sz w:val="20"/>
          <w:szCs w:val="20"/>
        </w:rPr>
      </w:pPr>
    </w:p>
    <w:p w:rsidR="00C50BCD" w:rsidRPr="00E512BC" w:rsidRDefault="00C50BCD" w:rsidP="00C50BCD">
      <w:pPr>
        <w:ind w:left="1620"/>
        <w:rPr>
          <w:rFonts w:ascii="Arial" w:hAnsi="Arial" w:cs="Arial"/>
          <w:sz w:val="20"/>
          <w:szCs w:val="20"/>
        </w:rPr>
      </w:pPr>
      <w:r w:rsidRPr="00E512BC">
        <w:rPr>
          <w:rFonts w:ascii="Arial" w:hAnsi="Arial" w:cs="Arial"/>
          <w:sz w:val="20"/>
          <w:szCs w:val="20"/>
        </w:rPr>
        <w:t>Note:</w:t>
      </w:r>
    </w:p>
    <w:p w:rsidR="00C50BCD" w:rsidRPr="00E512BC" w:rsidRDefault="00C50BCD" w:rsidP="00C50BCD">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C50BCD" w:rsidRPr="00E512BC" w:rsidRDefault="00C50BCD" w:rsidP="00C50BCD">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lastRenderedPageBreak/>
        <w:t xml:space="preserve">A charge will be raised for specific Broadband SFI2 modules used as set out in the IPstream Handbook. </w:t>
      </w:r>
    </w:p>
    <w:p w:rsidR="00C50BCD" w:rsidRPr="00E512BC" w:rsidRDefault="00C50BCD" w:rsidP="00C50BCD">
      <w:pPr>
        <w:ind w:left="1620"/>
        <w:rPr>
          <w:rStyle w:val="spplbodytext"/>
          <w:rFonts w:ascii="Arial" w:hAnsi="Arial" w:cs="Arial"/>
          <w:sz w:val="20"/>
          <w:szCs w:val="20"/>
        </w:rPr>
      </w:pPr>
    </w:p>
    <w:p w:rsidR="00C50BCD" w:rsidRPr="00E512BC" w:rsidRDefault="00C50BCD" w:rsidP="00C50BCD">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C50BCD" w:rsidRDefault="00C50BCD" w:rsidP="00337883">
      <w:pPr>
        <w:ind w:right="-262"/>
        <w:rPr>
          <w:rFonts w:ascii="Arial" w:hAnsi="Arial"/>
          <w:b/>
          <w:sz w:val="20"/>
          <w:szCs w:val="20"/>
          <w:u w:val="single"/>
        </w:rPr>
      </w:pPr>
    </w:p>
    <w:p w:rsidR="00C50BCD" w:rsidRPr="00E512BC" w:rsidRDefault="00C50BCD"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8"/>
      <w:footerReference w:type="default" r:id="rId39"/>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77" w:rsidRDefault="00AD0B77"/>
  </w:endnote>
  <w:endnote w:type="continuationSeparator" w:id="0">
    <w:p w:rsidR="00AD0B77" w:rsidRDefault="00AD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D4" w:rsidRDefault="002839D4" w:rsidP="00FC0A27">
    <w:pPr>
      <w:pStyle w:val="Footer"/>
      <w:jc w:val="center"/>
      <w:rPr>
        <w:rStyle w:val="PageNumber"/>
      </w:rPr>
    </w:pPr>
  </w:p>
  <w:p w:rsidR="002839D4" w:rsidRPr="00391BEC" w:rsidRDefault="00AD0B77"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002839D4" w:rsidRPr="00391BEC">
      <w:rPr>
        <w:rStyle w:val="PageNumber"/>
        <w:rFonts w:ascii="Arial" w:hAnsi="Arial" w:cs="Arial"/>
        <w:sz w:val="20"/>
        <w:szCs w:val="20"/>
      </w:rPr>
      <w:t xml:space="preserve">Page </w:t>
    </w:r>
    <w:r w:rsidR="002839D4" w:rsidRPr="00391BEC">
      <w:rPr>
        <w:rStyle w:val="PageNumber"/>
        <w:rFonts w:ascii="Arial" w:hAnsi="Arial" w:cs="Arial"/>
        <w:sz w:val="20"/>
        <w:szCs w:val="20"/>
      </w:rPr>
      <w:fldChar w:fldCharType="begin"/>
    </w:r>
    <w:r w:rsidR="002839D4" w:rsidRPr="00391BEC">
      <w:rPr>
        <w:rStyle w:val="PageNumber"/>
        <w:rFonts w:ascii="Arial" w:hAnsi="Arial" w:cs="Arial"/>
        <w:sz w:val="20"/>
        <w:szCs w:val="20"/>
      </w:rPr>
      <w:instrText xml:space="preserve"> PAGE </w:instrText>
    </w:r>
    <w:r w:rsidR="002839D4" w:rsidRPr="00391BEC">
      <w:rPr>
        <w:rStyle w:val="PageNumber"/>
        <w:rFonts w:ascii="Arial" w:hAnsi="Arial" w:cs="Arial"/>
        <w:sz w:val="20"/>
        <w:szCs w:val="20"/>
      </w:rPr>
      <w:fldChar w:fldCharType="separate"/>
    </w:r>
    <w:r w:rsidR="006A4A4F">
      <w:rPr>
        <w:rStyle w:val="PageNumber"/>
        <w:rFonts w:ascii="Arial" w:hAnsi="Arial" w:cs="Arial"/>
        <w:noProof/>
        <w:sz w:val="20"/>
        <w:szCs w:val="20"/>
      </w:rPr>
      <w:t>4</w:t>
    </w:r>
    <w:r w:rsidR="002839D4" w:rsidRPr="00391BEC">
      <w:rPr>
        <w:rStyle w:val="PageNumber"/>
        <w:rFonts w:ascii="Arial" w:hAnsi="Arial" w:cs="Arial"/>
        <w:sz w:val="20"/>
        <w:szCs w:val="20"/>
      </w:rPr>
      <w:fldChar w:fldCharType="end"/>
    </w:r>
    <w:r w:rsidR="002839D4" w:rsidRPr="00391BEC">
      <w:rPr>
        <w:rStyle w:val="PageNumber"/>
        <w:rFonts w:ascii="Arial" w:hAnsi="Arial" w:cs="Arial"/>
        <w:sz w:val="20"/>
        <w:szCs w:val="20"/>
      </w:rPr>
      <w:t xml:space="preserve"> of </w:t>
    </w:r>
    <w:r w:rsidR="002839D4" w:rsidRPr="00391BEC">
      <w:rPr>
        <w:rStyle w:val="PageNumber"/>
        <w:rFonts w:ascii="Arial" w:hAnsi="Arial" w:cs="Arial"/>
        <w:sz w:val="20"/>
        <w:szCs w:val="20"/>
      </w:rPr>
      <w:fldChar w:fldCharType="begin"/>
    </w:r>
    <w:r w:rsidR="002839D4" w:rsidRPr="00391BEC">
      <w:rPr>
        <w:rStyle w:val="PageNumber"/>
        <w:rFonts w:ascii="Arial" w:hAnsi="Arial" w:cs="Arial"/>
        <w:sz w:val="20"/>
        <w:szCs w:val="20"/>
      </w:rPr>
      <w:instrText xml:space="preserve"> NUMPAGES </w:instrText>
    </w:r>
    <w:r w:rsidR="002839D4" w:rsidRPr="00391BEC">
      <w:rPr>
        <w:rStyle w:val="PageNumber"/>
        <w:rFonts w:ascii="Arial" w:hAnsi="Arial" w:cs="Arial"/>
        <w:sz w:val="20"/>
        <w:szCs w:val="20"/>
      </w:rPr>
      <w:fldChar w:fldCharType="separate"/>
    </w:r>
    <w:r w:rsidR="006A4A4F">
      <w:rPr>
        <w:rStyle w:val="PageNumber"/>
        <w:rFonts w:ascii="Arial" w:hAnsi="Arial" w:cs="Arial"/>
        <w:noProof/>
        <w:sz w:val="20"/>
        <w:szCs w:val="20"/>
      </w:rPr>
      <w:t>24</w:t>
    </w:r>
    <w:r w:rsidR="002839D4"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77" w:rsidRDefault="00AD0B77"/>
  </w:footnote>
  <w:footnote w:type="continuationSeparator" w:id="0">
    <w:p w:rsidR="00AD0B77" w:rsidRDefault="00AD0B77"/>
  </w:footnote>
  <w:footnote w:id="1">
    <w:p w:rsidR="002839D4" w:rsidRDefault="002839D4" w:rsidP="002A7FAC">
      <w:pPr>
        <w:ind w:left="-180" w:right="-262" w:hanging="180"/>
        <w:rPr>
          <w:rFonts w:ascii="Arial" w:hAnsi="Arial" w:cs="Arial"/>
          <w:sz w:val="20"/>
          <w:szCs w:val="20"/>
        </w:rPr>
      </w:pPr>
      <w:r>
        <w:rPr>
          <w:rFonts w:ascii="Arial" w:hAnsi="Arial" w:cs="Arial"/>
          <w:sz w:val="20"/>
          <w:szCs w:val="20"/>
        </w:rPr>
        <w:t>Notes:</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2839D4" w:rsidRDefault="002839D4"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2839D4" w:rsidRDefault="002839D4"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2839D4" w:rsidRPr="005A2918" w:rsidRDefault="002839D4"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D4" w:rsidRDefault="002839D4">
    <w:pPr>
      <w:pStyle w:val="Header"/>
    </w:pPr>
    <w:r>
      <w:rPr>
        <w:noProof/>
      </w:rPr>
      <w:drawing>
        <wp:inline distT="0" distB="0" distL="0" distR="0">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2839D4" w:rsidRPr="003A4F0C" w:rsidRDefault="002839D4">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73537"/>
    <w:rsid w:val="00001893"/>
    <w:rsid w:val="00003600"/>
    <w:rsid w:val="00006723"/>
    <w:rsid w:val="00013EA8"/>
    <w:rsid w:val="000166CD"/>
    <w:rsid w:val="00017F3D"/>
    <w:rsid w:val="00023EB5"/>
    <w:rsid w:val="00024B26"/>
    <w:rsid w:val="00031D44"/>
    <w:rsid w:val="00031D69"/>
    <w:rsid w:val="000348E3"/>
    <w:rsid w:val="00035D7D"/>
    <w:rsid w:val="00036844"/>
    <w:rsid w:val="00036E05"/>
    <w:rsid w:val="00037176"/>
    <w:rsid w:val="000401A5"/>
    <w:rsid w:val="000430D5"/>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39D4"/>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57950"/>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FE0"/>
    <w:rsid w:val="004C6656"/>
    <w:rsid w:val="004C68EB"/>
    <w:rsid w:val="004C6E98"/>
    <w:rsid w:val="004D0A31"/>
    <w:rsid w:val="004D1014"/>
    <w:rsid w:val="004D2C58"/>
    <w:rsid w:val="004D5BBC"/>
    <w:rsid w:val="004D630F"/>
    <w:rsid w:val="004D6DCC"/>
    <w:rsid w:val="004D6F67"/>
    <w:rsid w:val="004E4B37"/>
    <w:rsid w:val="004E6D74"/>
    <w:rsid w:val="004F06D5"/>
    <w:rsid w:val="004F5155"/>
    <w:rsid w:val="004F72F9"/>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50F6"/>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679C6"/>
    <w:rsid w:val="0067114B"/>
    <w:rsid w:val="00673745"/>
    <w:rsid w:val="006838FE"/>
    <w:rsid w:val="006863A9"/>
    <w:rsid w:val="00687403"/>
    <w:rsid w:val="00690165"/>
    <w:rsid w:val="00690ABB"/>
    <w:rsid w:val="006916B0"/>
    <w:rsid w:val="00695067"/>
    <w:rsid w:val="006A464A"/>
    <w:rsid w:val="006A4A4F"/>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3915"/>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267A"/>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8F5F81"/>
    <w:rsid w:val="009047C1"/>
    <w:rsid w:val="009064C8"/>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AD"/>
    <w:rsid w:val="00A23898"/>
    <w:rsid w:val="00A277AC"/>
    <w:rsid w:val="00A30D7F"/>
    <w:rsid w:val="00A30F58"/>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0B77"/>
    <w:rsid w:val="00AD21EB"/>
    <w:rsid w:val="00AD480F"/>
    <w:rsid w:val="00AD556E"/>
    <w:rsid w:val="00AE069E"/>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4BCC"/>
    <w:rsid w:val="00B8709C"/>
    <w:rsid w:val="00B926ED"/>
    <w:rsid w:val="00B96994"/>
    <w:rsid w:val="00BB0215"/>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0BCD"/>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5E1"/>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400D"/>
    <w:rsid w:val="00CF72B4"/>
    <w:rsid w:val="00D02676"/>
    <w:rsid w:val="00D03385"/>
    <w:rsid w:val="00D0489A"/>
    <w:rsid w:val="00D05562"/>
    <w:rsid w:val="00D05D85"/>
    <w:rsid w:val="00D0608C"/>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 w:id="1567522563">
      <w:bodyDiv w:val="1"/>
      <w:marLeft w:val="0"/>
      <w:marRight w:val="0"/>
      <w:marTop w:val="0"/>
      <w:marBottom w:val="0"/>
      <w:divBdr>
        <w:top w:val="none" w:sz="0" w:space="0" w:color="auto"/>
        <w:left w:val="none" w:sz="0" w:space="0" w:color="auto"/>
        <w:bottom w:val="none" w:sz="0" w:space="0" w:color="auto"/>
        <w:right w:val="none" w:sz="0" w:space="0" w:color="auto"/>
      </w:divBdr>
    </w:div>
    <w:div w:id="20803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twholesale.com/sppl" TargetMode="External"/><Relationship Id="rId26" Type="http://schemas.openxmlformats.org/officeDocument/2006/relationships/hyperlink" Target="http://www.prima.nat.bt.com/manual/current/docs/Wholesale_Broadband_Services.boo/sectoc.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twholesale.com/navnode_8_11_1_1_44_4" TargetMode="External"/><Relationship Id="rId34" Type="http://schemas.openxmlformats.org/officeDocument/2006/relationships/hyperlink" Target="http://www.btwholesale.com/spp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twholesale.com/navnode_8_11_1_1_44_3" TargetMode="External"/><Relationship Id="rId25" Type="http://schemas.openxmlformats.org/officeDocument/2006/relationships/hyperlink" Target="http://www.prima.nat.bt.com/manual/current/docs/Wholesale_Broadband_Services.boo/1204.htm" TargetMode="External"/><Relationship Id="rId33" Type="http://schemas.openxmlformats.org/officeDocument/2006/relationships/hyperlink" Target="javascript:void(window.open('http://www.serviceview.bt.com/list/current/docs/Misc.boo/sectoc.ht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twholesale.com/sppl" TargetMode="External"/><Relationship Id="rId20" Type="http://schemas.openxmlformats.org/officeDocument/2006/relationships/hyperlink" Target="http://www.btwholesale.com/sppl" TargetMode="External"/><Relationship Id="rId29" Type="http://schemas.openxmlformats.org/officeDocument/2006/relationships/hyperlink" Target="http://www.btwholesale.com/sp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ima.nat.bt.com/manual/current/docs/Wholesale_Broadband_Services.boo/sectoc.htm" TargetMode="External"/><Relationship Id="rId32" Type="http://schemas.openxmlformats.org/officeDocument/2006/relationships/hyperlink" Target="http://www.btwholesale.com" TargetMode="External"/><Relationship Id="rId37" Type="http://schemas.openxmlformats.org/officeDocument/2006/relationships/hyperlink" Target="http://www.btwholesale.com/navnode_8_11_1_1_44_4"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twholesale.com/pages/static/Library/Pricing_and_Contractual_Information/Part_1_BT_IPstream/index.htm" TargetMode="External"/><Relationship Id="rId23" Type="http://schemas.openxmlformats.org/officeDocument/2006/relationships/hyperlink" Target="http://www.btwholesale.com/navnode_8_11_1_1_44_4" TargetMode="External"/><Relationship Id="rId28" Type="http://schemas.openxmlformats.org/officeDocument/2006/relationships/hyperlink" Target="http://www.btwholesale.com/navnode_8_11_1_1_44_3" TargetMode="External"/><Relationship Id="rId36" Type="http://schemas.openxmlformats.org/officeDocument/2006/relationships/hyperlink" Target="http://www.btwholesale.com/sppl" TargetMode="Externa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yperlink" Target="http://www.sinet.b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twholesale.com/pages/cmsjsps/newsandinsights/briefings/briefings.jsp" TargetMode="External"/><Relationship Id="rId22" Type="http://schemas.openxmlformats.org/officeDocument/2006/relationships/hyperlink" Target="http://www.btwholesale.com/sppl" TargetMode="External"/><Relationship Id="rId27" Type="http://schemas.openxmlformats.org/officeDocument/2006/relationships/hyperlink" Target="http://www.prima.nat.bt.com/manual/current/docs/Wholesale_Broadband_Services.boo/1205.htm" TargetMode="External"/><Relationship Id="rId30" Type="http://schemas.openxmlformats.org/officeDocument/2006/relationships/hyperlink" Target="http://www.btwholesale.com/navnode_8_11_1_1_44_4" TargetMode="External"/><Relationship Id="rId35" Type="http://schemas.openxmlformats.org/officeDocument/2006/relationships/hyperlink" Target="http://www.btwholesale.com/navnode_8_11_1_1_44_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FXKM3USVKQV5-12-204116</_dlc_DocId>
    <_dlc_DocIdUrl xmlns="e0e35bac-e255-4a69-af54-5f01336af94f">
      <Url>https://office.bt.com/sites/btwholesaleproducts/_layouts/DocIdRedir.aspx?ID=FXKM3USVKQV5-12-204116</Url>
      <Description>FXKM3USVKQV5-12-204116</Description>
    </_dlc_DocIdUrl>
    <BT_x0020_Data_x0020_Classification xmlns="e0e35bac-e255-4a69-af54-5f01336af94f">Public</BT_x0020_Data_x0020_Classification>
  </documentManagement>
</p:propertie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56578B50-DFAA-43D6-B54A-15B6A3AD9861}"/>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01F36034-63FB-4416-A655-89C462526EB8}"/>
</file>

<file path=customXml/itemProps4.xml><?xml version="1.0" encoding="utf-8"?>
<ds:datastoreItem xmlns:ds="http://schemas.openxmlformats.org/officeDocument/2006/customXml" ds:itemID="{925B57CB-81B7-4D86-8C6A-280C70B7BBF4}"/>
</file>

<file path=customXml/itemProps5.xml><?xml version="1.0" encoding="utf-8"?>
<ds:datastoreItem xmlns:ds="http://schemas.openxmlformats.org/officeDocument/2006/customXml" ds:itemID="{CD591EB9-5443-4478-9D50-6E37077C8A96}"/>
</file>

<file path=customXml/itemProps6.xml><?xml version="1.0" encoding="utf-8"?>
<ds:datastoreItem xmlns:ds="http://schemas.openxmlformats.org/officeDocument/2006/customXml" ds:itemID="{C43AB0B5-29EA-42F0-B1B2-BF4B00C5E224}"/>
</file>

<file path=docProps/app.xml><?xml version="1.0" encoding="utf-8"?>
<Properties xmlns="http://schemas.openxmlformats.org/officeDocument/2006/extended-properties" xmlns:vt="http://schemas.openxmlformats.org/officeDocument/2006/docPropsVTypes">
  <Template>Normal</Template>
  <TotalTime>17</TotalTime>
  <Pages>24</Pages>
  <Words>6377</Words>
  <Characters>36352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IPstream price list entry Effective 1st November 2012</vt:lpstr>
    </vt:vector>
  </TitlesOfParts>
  <Company>BT</Company>
  <LinksUpToDate>false</LinksUpToDate>
  <CharactersWithSpaces>42644</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Effective 1st November 2013</dc:title>
  <dc:subject/>
  <dc:creator>Chandni Vaghela</dc:creator>
  <cp:keywords/>
  <dc:description/>
  <cp:lastModifiedBy>Phil Keeley</cp:lastModifiedBy>
  <cp:revision>5</cp:revision>
  <cp:lastPrinted>2009-09-09T12:59:00Z</cp:lastPrinted>
  <dcterms:created xsi:type="dcterms:W3CDTF">2013-07-08T15:36:00Z</dcterms:created>
  <dcterms:modified xsi:type="dcterms:W3CDTF">2013-07-09T08:50:00Z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eefe93d6-f3ac-4a00-808f-973c10e603c2</vt:lpwstr>
  </property>
</Properties>
</file>